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 w:eastAsia="宋体" w:cs="宋体"/>
          <w:sz w:val="24"/>
        </w:rPr>
        <w:t>附件</w:t>
      </w:r>
      <w:r>
        <w:rPr>
          <w:rFonts w:hint="eastAsia" w:ascii="宋体" w:hAnsi="宋体" w:eastAsia="宋体" w:cs="宋体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hint="eastAsia" w:ascii="宋体" w:hAnsi="宋体" w:eastAsia="宋体" w:cs="宋体"/>
          <w:b/>
          <w:kern w:val="44"/>
          <w:sz w:val="36"/>
          <w:szCs w:val="36"/>
        </w:rPr>
      </w:pPr>
      <w:r>
        <w:rPr>
          <w:rFonts w:hint="eastAsia" w:ascii="宋体" w:hAnsi="宋体" w:eastAsia="宋体" w:cs="宋体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hint="eastAsia" w:ascii="宋体" w:hAnsi="宋体" w:eastAsia="宋体" w:cs="宋体"/>
        </w:rPr>
      </w:pPr>
    </w:p>
    <w:p>
      <w:pPr>
        <w:spacing w:line="480" w:lineRule="auto"/>
        <w:ind w:firstLine="700" w:firstLineChars="25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10kV紫金县水墩镇陂湖村温氏养鸡场400V配电安装工程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项目的公平竞争，不以任何不正当行为谋取不当利益，否则承担相应的法律责任。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日期：2020年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bookmarkStart w:id="1" w:name="_GoBack"/>
      <w:bookmarkEnd w:id="1"/>
    </w:p>
    <w:sectPr>
      <w:headerReference r:id="rId3" w:type="default"/>
      <w:pgSz w:w="11906" w:h="16838"/>
      <w:pgMar w:top="1440" w:right="1814" w:bottom="1440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1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2020-08-11T11:58:12Z</dcterms:created>
  <dc:creator>Administrator</dc:creator>
  <cp:lastModifiedBy>碧海蓝天</cp:lastModifiedBy>
  <dcterms:modified xsi:type="dcterms:W3CDTF">2020-08-11T11:58:24Z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